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4D" w:rsidRDefault="00B7114D" w:rsidP="00B7114D">
      <w:pPr>
        <w:jc w:val="center"/>
      </w:pPr>
      <w:r w:rsidRPr="00690FCC">
        <w:rPr>
          <w:b/>
          <w:sz w:val="28"/>
          <w:szCs w:val="28"/>
        </w:rPr>
        <w:t>Radioaktivt henfald</w:t>
      </w:r>
    </w:p>
    <w:p w:rsidR="00BE5653" w:rsidRDefault="00BE5653">
      <w:r>
        <w:t>Øvelsen er delt i tre afdelinger:</w:t>
      </w:r>
    </w:p>
    <w:p w:rsidR="00BE5653" w:rsidRDefault="00BE5653"/>
    <w:p w:rsidR="00BE5653" w:rsidRPr="00E87C81" w:rsidRDefault="00BE5653">
      <w:pPr>
        <w:ind w:firstLine="1304"/>
        <w:rPr>
          <w:i/>
          <w:szCs w:val="24"/>
        </w:rPr>
      </w:pPr>
      <w:r>
        <w:rPr>
          <w:i/>
          <w:sz w:val="32"/>
        </w:rPr>
        <w:t xml:space="preserve">A </w:t>
      </w:r>
      <w:r w:rsidRPr="00E87C81">
        <w:rPr>
          <w:i/>
          <w:szCs w:val="24"/>
        </w:rPr>
        <w:t>Henfaldsloven</w:t>
      </w:r>
      <w:r w:rsidRPr="00E87C81">
        <w:rPr>
          <w:szCs w:val="24"/>
        </w:rPr>
        <w:t xml:space="preserve"> med bestemmelse af halveringstiden for </w:t>
      </w:r>
      <w:r w:rsidRPr="00E87C81">
        <w:rPr>
          <w:szCs w:val="24"/>
          <w:vertAlign w:val="superscript"/>
        </w:rPr>
        <w:t>137</w:t>
      </w:r>
      <w:r w:rsidRPr="00E87C81">
        <w:rPr>
          <w:szCs w:val="24"/>
        </w:rPr>
        <w:t>Ba.</w:t>
      </w:r>
    </w:p>
    <w:p w:rsidR="00BE5653" w:rsidRPr="00E87C81" w:rsidRDefault="00E87C81">
      <w:pPr>
        <w:pStyle w:val="Overskrift2"/>
        <w:rPr>
          <w:iCs/>
          <w:sz w:val="24"/>
          <w:szCs w:val="24"/>
        </w:rPr>
      </w:pPr>
      <w:r w:rsidRPr="00E87C81">
        <w:rPr>
          <w:sz w:val="24"/>
          <w:szCs w:val="24"/>
        </w:rPr>
        <w:t>B</w:t>
      </w:r>
      <w:r w:rsidR="00BE5653" w:rsidRPr="00E87C81">
        <w:rPr>
          <w:sz w:val="24"/>
          <w:szCs w:val="24"/>
        </w:rPr>
        <w:t xml:space="preserve"> </w:t>
      </w:r>
      <w:r w:rsidR="00BE5653" w:rsidRPr="00E87C81">
        <w:rPr>
          <w:iCs/>
          <w:sz w:val="24"/>
          <w:szCs w:val="24"/>
        </w:rPr>
        <w:t xml:space="preserve">Absorption af </w:t>
      </w:r>
      <w:r w:rsidR="00BE5653" w:rsidRPr="00E87C81">
        <w:rPr>
          <w:iCs/>
          <w:sz w:val="24"/>
          <w:szCs w:val="24"/>
        </w:rPr>
        <w:sym w:font="Symbol" w:char="F067"/>
      </w:r>
      <w:r w:rsidR="00BE5653" w:rsidRPr="00E87C81">
        <w:rPr>
          <w:iCs/>
          <w:sz w:val="24"/>
          <w:szCs w:val="24"/>
        </w:rPr>
        <w:t>-stråling i bly:</w:t>
      </w:r>
    </w:p>
    <w:p w:rsidR="00E87C81" w:rsidRPr="00E87C81" w:rsidRDefault="00E87C81" w:rsidP="00E87C81">
      <w:pPr>
        <w:ind w:firstLine="1304"/>
        <w:rPr>
          <w:i/>
        </w:rPr>
      </w:pPr>
      <w:r w:rsidRPr="00E87C81">
        <w:rPr>
          <w:i/>
        </w:rPr>
        <w:t>C</w:t>
      </w:r>
      <w:r>
        <w:rPr>
          <w:i/>
        </w:rPr>
        <w:t xml:space="preserve"> Afstandskvadratloven</w:t>
      </w:r>
    </w:p>
    <w:p w:rsidR="00BE5653" w:rsidRDefault="00BE5653">
      <w:pPr>
        <w:pStyle w:val="Sidehoved"/>
        <w:tabs>
          <w:tab w:val="clear" w:pos="4819"/>
          <w:tab w:val="clear" w:pos="9638"/>
        </w:tabs>
      </w:pPr>
    </w:p>
    <w:p w:rsidR="00BE5653" w:rsidRDefault="00BE5653">
      <w:pPr>
        <w:pStyle w:val="Overskrift3"/>
        <w:rPr>
          <w:u w:val="single"/>
        </w:rPr>
      </w:pPr>
    </w:p>
    <w:p w:rsidR="00BE5653" w:rsidRDefault="00BE5653">
      <w:pPr>
        <w:jc w:val="center"/>
      </w:pPr>
    </w:p>
    <w:p w:rsidR="00BE5653" w:rsidRDefault="00BE5653">
      <w:r>
        <w:t xml:space="preserve">GM-røret </w:t>
      </w:r>
      <w:proofErr w:type="gramStart"/>
      <w:r>
        <w:t>består  som</w:t>
      </w:r>
      <w:proofErr w:type="gramEnd"/>
      <w:r>
        <w:t xml:space="preserve"> bekendt af en metalcylinder med en metaltråd pla</w:t>
      </w:r>
      <w:r w:rsidR="006560EC">
        <w:t>c</w:t>
      </w:r>
      <w:r>
        <w:t xml:space="preserve">eret langs midteraksen. Røret er lukket med et tyndt Be-vindue, der tillader radioaktiv stråling at passere. </w:t>
      </w:r>
    </w:p>
    <w:p w:rsidR="002433B8" w:rsidRDefault="00D3337C">
      <w:r>
        <w:t>S</w:t>
      </w:r>
      <w:r w:rsidR="00BE5653">
        <w:t>pændingen</w:t>
      </w:r>
      <w:r>
        <w:t xml:space="preserve"> er indstillet til</w:t>
      </w:r>
      <w:r w:rsidR="00BE5653">
        <w:t xml:space="preserve"> ca. 430 V. </w:t>
      </w:r>
    </w:p>
    <w:p w:rsidR="00BE5653" w:rsidRPr="002433B8" w:rsidRDefault="002433B8">
      <w:pPr>
        <w:rPr>
          <w:b/>
        </w:rPr>
      </w:pPr>
      <w:r w:rsidRPr="002433B8">
        <w:rPr>
          <w:b/>
        </w:rPr>
        <w:t xml:space="preserve">Bestem baggrundsstrålingen ved at lade tælleren måle i </w:t>
      </w:r>
      <w:r w:rsidR="006560EC">
        <w:rPr>
          <w:b/>
        </w:rPr>
        <w:t>100</w:t>
      </w:r>
      <w:r w:rsidRPr="002433B8">
        <w:rPr>
          <w:b/>
        </w:rPr>
        <w:t xml:space="preserve"> </w:t>
      </w:r>
      <w:proofErr w:type="spellStart"/>
      <w:r w:rsidRPr="002433B8">
        <w:rPr>
          <w:b/>
        </w:rPr>
        <w:t>sek</w:t>
      </w:r>
      <w:proofErr w:type="spellEnd"/>
      <w:r w:rsidRPr="002433B8">
        <w:rPr>
          <w:b/>
        </w:rPr>
        <w:t xml:space="preserve"> uden en radioaktiv kilde. </w:t>
      </w:r>
    </w:p>
    <w:p w:rsidR="00BE5653" w:rsidRDefault="00BE5653">
      <w:pPr>
        <w:jc w:val="center"/>
      </w:pPr>
    </w:p>
    <w:p w:rsidR="00BE5653" w:rsidRDefault="00BE5653">
      <w:pPr>
        <w:jc w:val="center"/>
        <w:rPr>
          <w:i/>
        </w:rPr>
      </w:pPr>
      <w:proofErr w:type="gramStart"/>
      <w:r>
        <w:rPr>
          <w:i/>
          <w:iCs/>
          <w:sz w:val="32"/>
          <w:u w:val="single"/>
        </w:rPr>
        <w:t>A</w:t>
      </w:r>
      <w:r>
        <w:rPr>
          <w:i/>
          <w:sz w:val="32"/>
          <w:u w:val="single"/>
        </w:rPr>
        <w:t xml:space="preserve">  Henfaldsloven</w:t>
      </w:r>
      <w:proofErr w:type="gramEnd"/>
      <w:r>
        <w:rPr>
          <w:i/>
        </w:rPr>
        <w:t>:</w:t>
      </w:r>
    </w:p>
    <w:p w:rsidR="00BE5653" w:rsidRDefault="00BE5653">
      <w:pPr>
        <w:jc w:val="center"/>
        <w:rPr>
          <w:i/>
        </w:rPr>
      </w:pPr>
    </w:p>
    <w:p w:rsidR="00BE5653" w:rsidRDefault="00BE5653">
      <w:r>
        <w:rPr>
          <w:i/>
        </w:rPr>
        <w:t xml:space="preserve"> </w:t>
      </w:r>
      <w:r>
        <w:t xml:space="preserve">I denne del af øvelsen skal I </w:t>
      </w:r>
      <w:proofErr w:type="gramStart"/>
      <w:r>
        <w:t xml:space="preserve">bruge </w:t>
      </w:r>
      <w:r>
        <w:rPr>
          <w:i/>
        </w:rPr>
        <w:t xml:space="preserve"> minigeneratoren</w:t>
      </w:r>
      <w:proofErr w:type="gramEnd"/>
      <w:r>
        <w:t xml:space="preserve"> . Ved at gennemskylle minigeneratoren med en kemisk væske frigøres </w:t>
      </w:r>
      <w:proofErr w:type="gramStart"/>
      <w:r>
        <w:t xml:space="preserve">radioaktivt  </w:t>
      </w:r>
      <w:r>
        <w:rPr>
          <w:vertAlign w:val="superscript"/>
        </w:rPr>
        <w:t>137</w:t>
      </w:r>
      <w:r>
        <w:t>Ba</w:t>
      </w:r>
      <w:proofErr w:type="gramEnd"/>
      <w:r>
        <w:t>, som opsamles i et reagensglas, der på forhånd er fastspændt i et stativ foran GM-røret. Når væsken (ca. 10 ml) er kommet ned i reagensglasset startes målingerne. Der måles i intervaller á 10 sekunder, og der måles i ca. 3 min. Tælletallene skal korrigeres for baggrundsstrålingen.</w:t>
      </w:r>
    </w:p>
    <w:p w:rsidR="00BE5653" w:rsidRDefault="00BE5653"/>
    <w:p w:rsidR="00BE5653" w:rsidRDefault="00BE5653">
      <w:r>
        <w:rPr>
          <w:u w:val="single"/>
        </w:rPr>
        <w:t>I rapporten</w:t>
      </w:r>
      <w:r>
        <w:t xml:space="preserve"> </w:t>
      </w:r>
      <w:proofErr w:type="gramStart"/>
      <w:r>
        <w:t>indtegnes  henfaldskurven</w:t>
      </w:r>
      <w:proofErr w:type="gramEnd"/>
      <w:r>
        <w:t xml:space="preserve"> for det radioaktive henfald af </w:t>
      </w:r>
      <w:r>
        <w:rPr>
          <w:vertAlign w:val="superscript"/>
        </w:rPr>
        <w:t>137</w:t>
      </w:r>
      <w:r>
        <w:t xml:space="preserve">Ba </w:t>
      </w:r>
      <w:r w:rsidR="002433B8">
        <w:t xml:space="preserve">i </w:t>
      </w:r>
      <w:proofErr w:type="spellStart"/>
      <w:r w:rsidR="002433B8">
        <w:t>excel</w:t>
      </w:r>
      <w:proofErr w:type="spellEnd"/>
      <w:r w:rsidR="002433B8">
        <w:t xml:space="preserve"> regneark</w:t>
      </w:r>
      <w:r>
        <w:t xml:space="preserve">. </w:t>
      </w:r>
      <w:r w:rsidRPr="002433B8">
        <w:rPr>
          <w:b/>
        </w:rPr>
        <w:t>Halveringstiden bestemmes ud fra grafen og resultatet sammenlignes med tabelværdien som findes i DATABOGEN</w:t>
      </w:r>
      <w:r>
        <w:t xml:space="preserve">. </w:t>
      </w:r>
    </w:p>
    <w:p w:rsidR="00BE5653" w:rsidRDefault="00BE5653"/>
    <w:p w:rsidR="00BE5653" w:rsidRPr="002433B8" w:rsidRDefault="00BE5653">
      <w:pPr>
        <w:rPr>
          <w:b/>
        </w:rPr>
      </w:pPr>
      <w:r w:rsidRPr="002433B8">
        <w:rPr>
          <w:b/>
        </w:rPr>
        <w:t xml:space="preserve">I </w:t>
      </w:r>
      <w:r w:rsidRPr="002433B8">
        <w:rPr>
          <w:b/>
          <w:u w:val="single"/>
        </w:rPr>
        <w:t>rapporten</w:t>
      </w:r>
      <w:r w:rsidRPr="002433B8">
        <w:rPr>
          <w:b/>
        </w:rPr>
        <w:t xml:space="preserve"> skal I også angive reaktionsskemaet for henfaldet af </w:t>
      </w:r>
      <w:r w:rsidRPr="002433B8">
        <w:rPr>
          <w:b/>
          <w:vertAlign w:val="superscript"/>
        </w:rPr>
        <w:t>137</w:t>
      </w:r>
      <w:r w:rsidRPr="002433B8">
        <w:rPr>
          <w:b/>
        </w:rPr>
        <w:t xml:space="preserve">Cs. </w:t>
      </w:r>
    </w:p>
    <w:p w:rsidR="00BE5653" w:rsidRDefault="00BE5653"/>
    <w:p w:rsidR="00BE5653" w:rsidRDefault="00BE5653"/>
    <w:p w:rsidR="00BE5653" w:rsidRDefault="00BE5653"/>
    <w:p w:rsidR="00BE5653" w:rsidRDefault="00BE5653"/>
    <w:p w:rsidR="00BE5653" w:rsidRDefault="00BE5653">
      <w:pPr>
        <w:pStyle w:val="Overskrift1"/>
      </w:pPr>
    </w:p>
    <w:p w:rsidR="00BE5653" w:rsidRDefault="00BE5653">
      <w:pPr>
        <w:pStyle w:val="Overskrift1"/>
        <w:rPr>
          <w:sz w:val="32"/>
        </w:rPr>
      </w:pPr>
      <w:r>
        <w:rPr>
          <w:sz w:val="32"/>
        </w:rPr>
        <w:t>Minigeneratoren</w:t>
      </w:r>
    </w:p>
    <w:p w:rsidR="00BE5653" w:rsidRDefault="00BE5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5653" w:rsidRDefault="00BE5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Minigeneratoren er en lille beholder der indeholder et </w:t>
      </w:r>
      <w:proofErr w:type="spellStart"/>
      <w:r>
        <w:t>Cs</w:t>
      </w:r>
      <w:proofErr w:type="spellEnd"/>
      <w:r>
        <w:t xml:space="preserve">-salt. Isotopen </w:t>
      </w:r>
      <w:r>
        <w:rPr>
          <w:vertAlign w:val="superscript"/>
        </w:rPr>
        <w:t>137</w:t>
      </w:r>
      <w:r>
        <w:t xml:space="preserve">Cs har en meget lang halveringstid. Den henfalder til </w:t>
      </w:r>
      <w:r>
        <w:rPr>
          <w:vertAlign w:val="superscript"/>
        </w:rPr>
        <w:t>137</w:t>
      </w:r>
      <w:r>
        <w:t xml:space="preserve">Ba*, der har en forholdsvis kort halveringstid. </w:t>
      </w:r>
      <w:r>
        <w:rPr>
          <w:vertAlign w:val="superscript"/>
        </w:rPr>
        <w:t>137</w:t>
      </w:r>
      <w:r>
        <w:t xml:space="preserve">Ba* henfalder til grundtilstanden ved udsendelse af </w:t>
      </w:r>
      <w:r>
        <w:sym w:font="Symbol" w:char="F067"/>
      </w:r>
      <w:r>
        <w:t>-</w:t>
      </w:r>
      <w:proofErr w:type="gramStart"/>
      <w:r>
        <w:t>stråling  med</w:t>
      </w:r>
      <w:proofErr w:type="gramEnd"/>
      <w:r>
        <w:t xml:space="preserve"> energien 662 </w:t>
      </w:r>
      <w:proofErr w:type="spellStart"/>
      <w:r>
        <w:t>keV</w:t>
      </w:r>
      <w:proofErr w:type="spellEnd"/>
      <w:r>
        <w:t>.</w:t>
      </w:r>
    </w:p>
    <w:p w:rsidR="00BE5653" w:rsidRDefault="00BE5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5653" w:rsidRDefault="00BE5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Den mængde Ba der dannes ved henfaldet fra </w:t>
      </w:r>
      <w:proofErr w:type="spellStart"/>
      <w:r>
        <w:t>Cs</w:t>
      </w:r>
      <w:proofErr w:type="spellEnd"/>
      <w:r>
        <w:t xml:space="preserve"> ekstraheres ved at gennemskylle minigeneratoren med en kemisk blanding af </w:t>
      </w:r>
      <w:proofErr w:type="spellStart"/>
      <w:r>
        <w:t>HCl</w:t>
      </w:r>
      <w:proofErr w:type="spellEnd"/>
      <w:r>
        <w:t xml:space="preserve"> og </w:t>
      </w:r>
      <w:proofErr w:type="spellStart"/>
      <w:r>
        <w:t>NaCl</w:t>
      </w:r>
      <w:proofErr w:type="spellEnd"/>
      <w:r>
        <w:t xml:space="preserve">. </w:t>
      </w:r>
    </w:p>
    <w:p w:rsidR="00BE5653" w:rsidRDefault="00BE5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5653" w:rsidRDefault="00BE5653"/>
    <w:p w:rsidR="00BE5653" w:rsidRDefault="00BE5653">
      <w:pPr>
        <w:rPr>
          <w:sz w:val="20"/>
        </w:rPr>
      </w:pPr>
    </w:p>
    <w:p w:rsidR="00BE5653" w:rsidRDefault="00BE5653">
      <w:r>
        <w:br w:type="page"/>
      </w:r>
    </w:p>
    <w:p w:rsidR="00BE5653" w:rsidRDefault="00BE5653"/>
    <w:p w:rsidR="00BE5653" w:rsidRDefault="00BE5653">
      <w:pPr>
        <w:pStyle w:val="Sidehoved"/>
        <w:tabs>
          <w:tab w:val="clear" w:pos="4819"/>
          <w:tab w:val="clear" w:pos="9638"/>
        </w:tabs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 xml:space="preserve">Absorption af </w:t>
      </w:r>
      <w:r>
        <w:rPr>
          <w:sz w:val="32"/>
          <w:u w:val="single"/>
        </w:rPr>
        <w:sym w:font="Symbol" w:char="F067"/>
      </w:r>
      <w:r>
        <w:rPr>
          <w:sz w:val="32"/>
          <w:u w:val="single"/>
        </w:rPr>
        <w:t>-</w:t>
      </w:r>
      <w:r>
        <w:rPr>
          <w:i/>
          <w:sz w:val="32"/>
          <w:u w:val="single"/>
        </w:rPr>
        <w:t>stråling i bly:</w:t>
      </w:r>
    </w:p>
    <w:p w:rsidR="00BE5653" w:rsidRDefault="00BE5653">
      <w:pPr>
        <w:pStyle w:val="Sidehoved"/>
        <w:tabs>
          <w:tab w:val="clear" w:pos="4819"/>
          <w:tab w:val="clear" w:pos="9638"/>
        </w:tabs>
        <w:jc w:val="center"/>
        <w:rPr>
          <w:u w:val="single"/>
        </w:rPr>
      </w:pPr>
    </w:p>
    <w:p w:rsidR="00BE5653" w:rsidRDefault="00BE5653">
      <w:r>
        <w:t xml:space="preserve">Der er to </w:t>
      </w:r>
      <w:r>
        <w:sym w:font="Symbol" w:char="F067"/>
      </w:r>
      <w:r>
        <w:t xml:space="preserve">-kilder til rådighed. En </w:t>
      </w:r>
      <w:r>
        <w:rPr>
          <w:vertAlign w:val="superscript"/>
        </w:rPr>
        <w:t>137</w:t>
      </w:r>
      <w:r>
        <w:t xml:space="preserve">Cs-kilde og en </w:t>
      </w:r>
      <w:r>
        <w:rPr>
          <w:vertAlign w:val="superscript"/>
        </w:rPr>
        <w:t>60</w:t>
      </w:r>
      <w:r>
        <w:t xml:space="preserve">Co-kilde. </w:t>
      </w:r>
      <w:r w:rsidR="002433B8">
        <w:t xml:space="preserve">I </w:t>
      </w:r>
      <w:r w:rsidR="002433B8">
        <w:rPr>
          <w:vertAlign w:val="superscript"/>
        </w:rPr>
        <w:t>137</w:t>
      </w:r>
      <w:r w:rsidR="002433B8">
        <w:t>Cs-kilden måle</w:t>
      </w:r>
      <w:r w:rsidR="00E87C81">
        <w:t>r</w:t>
      </w:r>
      <w:r w:rsidR="002433B8">
        <w:t xml:space="preserve"> man på gammastrålerne fra </w:t>
      </w:r>
      <w:r w:rsidR="002433B8">
        <w:rPr>
          <w:vertAlign w:val="superscript"/>
        </w:rPr>
        <w:t>137</w:t>
      </w:r>
      <w:r w:rsidR="002433B8">
        <w:t xml:space="preserve">Ba </w:t>
      </w:r>
      <w:r w:rsidR="00E87C81">
        <w:t>G</w:t>
      </w:r>
      <w:r>
        <w:t>amma-</w:t>
      </w:r>
      <w:proofErr w:type="gramStart"/>
      <w:r>
        <w:t>strålerne</w:t>
      </w:r>
      <w:r w:rsidR="00E87C81">
        <w:t xml:space="preserve">s </w:t>
      </w:r>
      <w:r>
        <w:t xml:space="preserve"> </w:t>
      </w:r>
      <w:r w:rsidR="00E87C81">
        <w:t>energi</w:t>
      </w:r>
      <w:proofErr w:type="gramEnd"/>
      <w:r w:rsidR="00E87C81">
        <w:t xml:space="preserve"> </w:t>
      </w:r>
      <w:r>
        <w:t xml:space="preserve">er 662 </w:t>
      </w:r>
      <w:proofErr w:type="spellStart"/>
      <w:r>
        <w:t>keV</w:t>
      </w:r>
      <w:proofErr w:type="spellEnd"/>
      <w:r w:rsidR="002433B8">
        <w:t xml:space="preserve">. </w:t>
      </w:r>
    </w:p>
    <w:p w:rsidR="00BE5653" w:rsidRDefault="00BE5653"/>
    <w:p w:rsidR="002433B8" w:rsidRPr="00502BE5" w:rsidRDefault="002433B8"/>
    <w:p w:rsidR="005E2B64" w:rsidRDefault="00B7114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43180</wp:posOffset>
            </wp:positionV>
            <wp:extent cx="2531745" cy="2106930"/>
            <wp:effectExtent l="0" t="0" r="1905" b="7620"/>
            <wp:wrapTight wrapText="bothSides">
              <wp:wrapPolygon edited="0">
                <wp:start x="0" y="0"/>
                <wp:lineTo x="0" y="21483"/>
                <wp:lineTo x="21454" y="21483"/>
                <wp:lineTo x="21454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8E6" w:rsidRDefault="00F008E6"/>
    <w:p w:rsidR="00F008E6" w:rsidRDefault="00F008E6"/>
    <w:p w:rsidR="00F008E6" w:rsidRDefault="00F008E6"/>
    <w:p w:rsidR="00F008E6" w:rsidRDefault="00F008E6"/>
    <w:p w:rsidR="00F008E6" w:rsidRDefault="00F008E6"/>
    <w:p w:rsidR="00F008E6" w:rsidRDefault="00F008E6"/>
    <w:p w:rsidR="00F008E6" w:rsidRDefault="00F008E6"/>
    <w:p w:rsidR="00F008E6" w:rsidRDefault="00F008E6"/>
    <w:p w:rsidR="00F008E6" w:rsidRDefault="00F008E6"/>
    <w:p w:rsidR="00F008E6" w:rsidRDefault="00F008E6"/>
    <w:p w:rsidR="00F008E6" w:rsidRDefault="00F008E6"/>
    <w:p w:rsidR="00F008E6" w:rsidRDefault="00F008E6"/>
    <w:p w:rsidR="00F008E6" w:rsidRDefault="00F008E6"/>
    <w:p w:rsidR="00F008E6" w:rsidRDefault="00F008E6"/>
    <w:p w:rsidR="005E2B64" w:rsidRDefault="00E87C81">
      <w:r>
        <w:t xml:space="preserve">I </w:t>
      </w:r>
      <w:r>
        <w:rPr>
          <w:vertAlign w:val="superscript"/>
        </w:rPr>
        <w:t>60</w:t>
      </w:r>
      <w:r>
        <w:t xml:space="preserve">Co-kilden er stammer strålingen fra overgang i </w:t>
      </w:r>
      <w:r>
        <w:rPr>
          <w:vertAlign w:val="superscript"/>
        </w:rPr>
        <w:t>60</w:t>
      </w:r>
      <w:r w:rsidR="00DB7E0D">
        <w:t>Ni</w:t>
      </w:r>
      <w:r>
        <w:t>-kernen. Vi regner med at gam</w:t>
      </w:r>
      <w:r w:rsidR="00DB7E0D">
        <w:t>m</w:t>
      </w:r>
      <w:r>
        <w:t xml:space="preserve">astrålerne har </w:t>
      </w:r>
      <w:proofErr w:type="gramStart"/>
      <w:r>
        <w:t>energien  1</w:t>
      </w:r>
      <w:proofErr w:type="gramEnd"/>
      <w:r>
        <w:t>,253MeV</w:t>
      </w:r>
      <w:r>
        <w:rPr>
          <w:i/>
        </w:rPr>
        <w:t xml:space="preserve">. (Den sidst angivne værdi er middelværdien af 1,173 </w:t>
      </w:r>
      <w:proofErr w:type="spellStart"/>
      <w:r>
        <w:rPr>
          <w:i/>
        </w:rPr>
        <w:t>MeV</w:t>
      </w:r>
      <w:proofErr w:type="spellEnd"/>
      <w:r>
        <w:rPr>
          <w:i/>
        </w:rPr>
        <w:t xml:space="preserve"> og 1,332 </w:t>
      </w:r>
      <w:proofErr w:type="spellStart"/>
      <w:r>
        <w:rPr>
          <w:i/>
        </w:rPr>
        <w:t>MeV</w:t>
      </w:r>
      <w:proofErr w:type="spellEnd"/>
      <w:r>
        <w:rPr>
          <w:i/>
        </w:rPr>
        <w:t xml:space="preserve"> da der kommer to forskellige </w:t>
      </w:r>
      <w:proofErr w:type="spellStart"/>
      <w:r>
        <w:rPr>
          <w:i/>
        </w:rPr>
        <w:t>gammaståler</w:t>
      </w:r>
      <w:proofErr w:type="spellEnd"/>
      <w:r>
        <w:rPr>
          <w:i/>
        </w:rPr>
        <w:t xml:space="preserve"> fra </w:t>
      </w:r>
      <w:r>
        <w:rPr>
          <w:i/>
          <w:vertAlign w:val="superscript"/>
        </w:rPr>
        <w:t>60</w:t>
      </w:r>
      <w:r>
        <w:rPr>
          <w:i/>
        </w:rPr>
        <w:t>Co-kilden</w:t>
      </w:r>
      <w:r>
        <w:t>)</w:t>
      </w:r>
    </w:p>
    <w:p w:rsidR="005E2B64" w:rsidRDefault="005E2B64"/>
    <w:p w:rsidR="00DB7E0D" w:rsidRDefault="00B7114D">
      <w:r>
        <w:rPr>
          <w:noProof/>
        </w:rPr>
        <w:drawing>
          <wp:inline distT="0" distB="0" distL="0" distR="0">
            <wp:extent cx="5922010" cy="2884805"/>
            <wp:effectExtent l="0" t="0" r="2540" b="0"/>
            <wp:docPr id="1" name="Billede 10" descr="C:\Documents and Settings\Michael Søndergaard\Dokumenter\DATAWORD\Undervisning\ØvvejlOBL\AtomOgKernefysik\711px-Cobalt-60m-deca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0" descr="C:\Documents and Settings\Michael Søndergaard\Dokumenter\DATAWORD\Undervisning\ØvvejlOBL\AtomOgKernefysik\711px-Cobalt-60m-decay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B8" w:rsidRDefault="002433B8"/>
    <w:p w:rsidR="00BE5653" w:rsidRDefault="00BE5653">
      <w:r>
        <w:t xml:space="preserve">Kilden spændes fast i holderen foran GM-røret i en afstand af </w:t>
      </w:r>
      <w:proofErr w:type="spellStart"/>
      <w:r>
        <w:t>ca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 cm"/>
        </w:smartTagPr>
        <w:r>
          <w:t>3 cm</w:t>
        </w:r>
      </w:smartTag>
      <w:r w:rsidR="006560EC">
        <w:t>. Herefter holdes af</w:t>
      </w:r>
      <w:r>
        <w:t xml:space="preserve">standen konstant. Der måles i intervaller af </w:t>
      </w:r>
      <w:r w:rsidR="006560EC">
        <w:t>100</w:t>
      </w:r>
      <w:r>
        <w:t xml:space="preserve"> sekunder og den første måling foretages uden at der bly imellem. Derefter måles </w:t>
      </w:r>
      <w:proofErr w:type="gramStart"/>
      <w:r>
        <w:t>med  én</w:t>
      </w:r>
      <w:proofErr w:type="gramEnd"/>
      <w:r>
        <w:t xml:space="preserve"> blyplade og næste gang to blyplader osv. Man fortsætter indtil at tælletallet er under halvdelen af det første tælletal.  </w:t>
      </w:r>
    </w:p>
    <w:p w:rsidR="00BE5653" w:rsidRDefault="00BE5653"/>
    <w:p w:rsidR="00BE5653" w:rsidRDefault="00BE5653">
      <w:r>
        <w:t>Proceduren gentages med den anden kilde.</w:t>
      </w:r>
    </w:p>
    <w:p w:rsidR="00BE5653" w:rsidRDefault="00BE5653"/>
    <w:p w:rsidR="00BE5653" w:rsidRDefault="00BE5653">
      <w:r>
        <w:lastRenderedPageBreak/>
        <w:t xml:space="preserve">I </w:t>
      </w:r>
      <w:r>
        <w:rPr>
          <w:u w:val="single"/>
        </w:rPr>
        <w:t>rapporten</w:t>
      </w:r>
      <w:r>
        <w:t xml:space="preserve"> indtegnes begge </w:t>
      </w:r>
      <w:proofErr w:type="gramStart"/>
      <w:r>
        <w:t>absorptionskurver</w:t>
      </w:r>
      <w:r w:rsidR="00D3337C">
        <w:t xml:space="preserve">  i</w:t>
      </w:r>
      <w:proofErr w:type="gramEnd"/>
      <w:r w:rsidR="00D3337C">
        <w:t xml:space="preserve"> </w:t>
      </w:r>
      <w:r w:rsidR="002433B8">
        <w:t xml:space="preserve"> regneark</w:t>
      </w:r>
      <w:r>
        <w:t>. Halveringstykkelsen findes og resultaterne sammenlignes med tabelværdierne</w:t>
      </w:r>
      <w:r w:rsidR="00D3337C">
        <w:t xml:space="preserve"> som findes i databogen</w:t>
      </w:r>
      <w:r>
        <w:t>. (</w:t>
      </w:r>
      <w:proofErr w:type="spellStart"/>
      <w:r>
        <w:t>Stikordregi</w:t>
      </w:r>
      <w:r w:rsidR="00D3337C">
        <w:t>steret</w:t>
      </w:r>
      <w:proofErr w:type="spellEnd"/>
      <w:r w:rsidR="00D3337C">
        <w:t>: absorptionskoefficient</w:t>
      </w:r>
      <w:r>
        <w:t xml:space="preserve">) </w:t>
      </w:r>
    </w:p>
    <w:p w:rsidR="00BE5653" w:rsidRDefault="00BE5653"/>
    <w:p w:rsidR="00BE5653" w:rsidRDefault="00BE5653">
      <w:r>
        <w:t xml:space="preserve">I </w:t>
      </w:r>
      <w:r>
        <w:rPr>
          <w:u w:val="single"/>
        </w:rPr>
        <w:t>rapporten</w:t>
      </w:r>
      <w:r>
        <w:t xml:space="preserve"> skal I angive reaktionsskemaet for </w:t>
      </w:r>
      <w:r>
        <w:rPr>
          <w:vertAlign w:val="superscript"/>
        </w:rPr>
        <w:t>60</w:t>
      </w:r>
      <w:r>
        <w:t>Co.</w:t>
      </w:r>
    </w:p>
    <w:p w:rsidR="00BE5653" w:rsidRDefault="00BE5653">
      <w:pPr>
        <w:pStyle w:val="Sidehoved"/>
        <w:tabs>
          <w:tab w:val="clear" w:pos="4819"/>
          <w:tab w:val="clear" w:pos="9638"/>
        </w:tabs>
      </w:pPr>
    </w:p>
    <w:p w:rsidR="00E87C81" w:rsidRDefault="00E87C81" w:rsidP="00E87C81">
      <w:pPr>
        <w:pStyle w:val="Sidehoved"/>
        <w:tabs>
          <w:tab w:val="clear" w:pos="4819"/>
          <w:tab w:val="clear" w:pos="9638"/>
        </w:tabs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Afstandskvadratloven:</w:t>
      </w:r>
    </w:p>
    <w:p w:rsidR="00E87C81" w:rsidRDefault="00E87C81" w:rsidP="00E87C81">
      <w:pPr>
        <w:pStyle w:val="Sidehoved"/>
        <w:tabs>
          <w:tab w:val="clear" w:pos="4819"/>
          <w:tab w:val="clear" w:pos="9638"/>
        </w:tabs>
        <w:rPr>
          <w:szCs w:val="24"/>
        </w:rPr>
      </w:pPr>
    </w:p>
    <w:p w:rsidR="00E87C81" w:rsidRDefault="00E87C81" w:rsidP="00E87C81">
      <w:pPr>
        <w:pStyle w:val="Sidehoved"/>
        <w:tabs>
          <w:tab w:val="clear" w:pos="4819"/>
          <w:tab w:val="clear" w:pos="9638"/>
        </w:tabs>
        <w:rPr>
          <w:szCs w:val="24"/>
        </w:rPr>
      </w:pPr>
      <w:r>
        <w:rPr>
          <w:szCs w:val="24"/>
        </w:rPr>
        <w:t xml:space="preserve">Eftervis afstandskvadratloven, vha. en gammakilde. Mål på strålingen i </w:t>
      </w:r>
      <w:r w:rsidR="00F008E6">
        <w:rPr>
          <w:szCs w:val="24"/>
        </w:rPr>
        <w:t xml:space="preserve">forskellige afstande fra ca. 3cm til </w:t>
      </w:r>
      <w:smartTag w:uri="urn:schemas-microsoft-com:office:smarttags" w:element="metricconverter">
        <w:smartTagPr>
          <w:attr w:name="ProductID" w:val="20 cm"/>
        </w:smartTagPr>
        <w:r w:rsidR="00F008E6">
          <w:rPr>
            <w:szCs w:val="24"/>
          </w:rPr>
          <w:t>20 cm</w:t>
        </w:r>
      </w:smartTag>
      <w:r w:rsidR="00F008E6">
        <w:rPr>
          <w:szCs w:val="24"/>
        </w:rPr>
        <w:t>.</w:t>
      </w:r>
    </w:p>
    <w:p w:rsidR="00F008E6" w:rsidRDefault="00F008E6" w:rsidP="00E87C81">
      <w:pPr>
        <w:pStyle w:val="Sidehoved"/>
        <w:tabs>
          <w:tab w:val="clear" w:pos="4819"/>
          <w:tab w:val="clear" w:pos="9638"/>
        </w:tabs>
        <w:rPr>
          <w:szCs w:val="24"/>
        </w:rPr>
      </w:pPr>
    </w:p>
    <w:p w:rsidR="00F008E6" w:rsidRPr="00E87C81" w:rsidRDefault="00F008E6" w:rsidP="00E87C81">
      <w:pPr>
        <w:pStyle w:val="Sidehoved"/>
        <w:tabs>
          <w:tab w:val="clear" w:pos="4819"/>
          <w:tab w:val="clear" w:pos="9638"/>
        </w:tabs>
        <w:rPr>
          <w:szCs w:val="24"/>
        </w:rPr>
      </w:pPr>
      <w:r>
        <w:rPr>
          <w:szCs w:val="24"/>
        </w:rPr>
        <w:t>I rapporten skal du lave en grafisk afbildning der</w:t>
      </w:r>
      <w:r w:rsidR="00D3337C">
        <w:rPr>
          <w:szCs w:val="24"/>
        </w:rPr>
        <w:t xml:space="preserve"> har til hensigt </w:t>
      </w:r>
      <w:proofErr w:type="gramStart"/>
      <w:r w:rsidR="00D3337C">
        <w:rPr>
          <w:szCs w:val="24"/>
        </w:rPr>
        <w:t>at  eftervise</w:t>
      </w:r>
      <w:proofErr w:type="gramEnd"/>
      <w:r>
        <w:rPr>
          <w:szCs w:val="24"/>
        </w:rPr>
        <w:t xml:space="preserve"> at intensiteten aftager med kvadratet på</w:t>
      </w:r>
      <w:r w:rsidR="00D3337C">
        <w:rPr>
          <w:szCs w:val="24"/>
        </w:rPr>
        <w:t xml:space="preserve"> af</w:t>
      </w:r>
      <w:r>
        <w:rPr>
          <w:szCs w:val="24"/>
        </w:rPr>
        <w:t>standen.</w:t>
      </w:r>
    </w:p>
    <w:p w:rsidR="00E87C81" w:rsidRDefault="00E87C81">
      <w:pPr>
        <w:pStyle w:val="Sidehoved"/>
        <w:tabs>
          <w:tab w:val="clear" w:pos="4819"/>
          <w:tab w:val="clear" w:pos="9638"/>
        </w:tabs>
      </w:pPr>
      <w:bookmarkStart w:id="0" w:name="_GoBack"/>
      <w:bookmarkEnd w:id="0"/>
    </w:p>
    <w:sectPr w:rsidR="00E87C81">
      <w:headerReference w:type="default" r:id="rId10"/>
      <w:footerReference w:type="default" r:id="rId11"/>
      <w:pgSz w:w="11907" w:h="16840"/>
      <w:pgMar w:top="567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6D" w:rsidRDefault="007B736D">
      <w:r>
        <w:separator/>
      </w:r>
    </w:p>
  </w:endnote>
  <w:endnote w:type="continuationSeparator" w:id="0">
    <w:p w:rsidR="007B736D" w:rsidRDefault="007B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621" w:rsidRDefault="008B2621">
    <w:pPr>
      <w:pStyle w:val="Sidefod"/>
      <w:pBdr>
        <w:top w:val="single" w:sz="4" w:space="1" w:color="auto"/>
      </w:pBdr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radiooaktivitetHenfaldslovdodtidabsorption</w:t>
    </w:r>
    <w:r>
      <w:fldChar w:fldCharType="end"/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D3337C">
      <w:rPr>
        <w:noProof/>
      </w:rPr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D3337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6D" w:rsidRDefault="007B736D">
      <w:r>
        <w:separator/>
      </w:r>
    </w:p>
  </w:footnote>
  <w:footnote w:type="continuationSeparator" w:id="0">
    <w:p w:rsidR="007B736D" w:rsidRDefault="007B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621" w:rsidRPr="00690FCC" w:rsidRDefault="00B7114D" w:rsidP="00B7114D">
    <w:pPr>
      <w:pStyle w:val="Sidehoved"/>
      <w:pBdr>
        <w:bottom w:val="single" w:sz="4" w:space="1" w:color="auto"/>
      </w:pBdr>
      <w:rPr>
        <w:sz w:val="28"/>
        <w:szCs w:val="28"/>
      </w:rPr>
    </w:pPr>
    <w:r>
      <w:rPr>
        <w:b/>
        <w:sz w:val="28"/>
        <w:szCs w:val="28"/>
      </w:rPr>
      <w:t xml:space="preserve">2x </w:t>
    </w:r>
    <w:proofErr w:type="spellStart"/>
    <w:r>
      <w:rPr>
        <w:b/>
        <w:sz w:val="28"/>
        <w:szCs w:val="28"/>
      </w:rPr>
      <w:t>fyA</w:t>
    </w:r>
    <w:proofErr w:type="spellEnd"/>
    <w:r>
      <w:rPr>
        <w:b/>
        <w:sz w:val="28"/>
        <w:szCs w:val="28"/>
      </w:rPr>
      <w:tab/>
      <w:t>Fysik</w:t>
    </w:r>
    <w:r>
      <w:rPr>
        <w:b/>
        <w:sz w:val="28"/>
        <w:szCs w:val="28"/>
      </w:rPr>
      <w:tab/>
      <w:t>marts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4F63"/>
    <w:multiLevelType w:val="hybridMultilevel"/>
    <w:tmpl w:val="C54EF5B8"/>
    <w:lvl w:ilvl="0" w:tplc="6F9C32B6">
      <w:start w:val="1"/>
      <w:numFmt w:val="upp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B8"/>
    <w:rsid w:val="002433B8"/>
    <w:rsid w:val="0024742C"/>
    <w:rsid w:val="00502BE5"/>
    <w:rsid w:val="005E2B64"/>
    <w:rsid w:val="006560EC"/>
    <w:rsid w:val="00690FCC"/>
    <w:rsid w:val="007B736D"/>
    <w:rsid w:val="008B2621"/>
    <w:rsid w:val="009D048D"/>
    <w:rsid w:val="00AE61E1"/>
    <w:rsid w:val="00B7114D"/>
    <w:rsid w:val="00BE5653"/>
    <w:rsid w:val="00D3337C"/>
    <w:rsid w:val="00DB7E0D"/>
    <w:rsid w:val="00E87C81"/>
    <w:rsid w:val="00F0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ind w:firstLine="1304"/>
      <w:outlineLvl w:val="1"/>
    </w:pPr>
    <w:rPr>
      <w:i/>
      <w:sz w:val="32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i/>
      <w:sz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Titel">
    <w:name w:val="Title"/>
    <w:basedOn w:val="Normal"/>
    <w:qFormat/>
    <w:pPr>
      <w:jc w:val="center"/>
    </w:pPr>
    <w:rPr>
      <w:sz w:val="3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D3337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33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ind w:firstLine="1304"/>
      <w:outlineLvl w:val="1"/>
    </w:pPr>
    <w:rPr>
      <w:i/>
      <w:sz w:val="32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i/>
      <w:sz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Titel">
    <w:name w:val="Title"/>
    <w:basedOn w:val="Normal"/>
    <w:qFormat/>
    <w:pPr>
      <w:jc w:val="center"/>
    </w:pPr>
    <w:rPr>
      <w:sz w:val="3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D3337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33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Radioaktivt henfald</vt:lpstr>
    </vt:vector>
  </TitlesOfParts>
  <Company>Mikajl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Radioaktivt henfald</dc:title>
  <dc:creator>Michael A. Søndergaard</dc:creator>
  <cp:lastModifiedBy>so</cp:lastModifiedBy>
  <cp:revision>3</cp:revision>
  <cp:lastPrinted>2007-01-19T10:20:00Z</cp:lastPrinted>
  <dcterms:created xsi:type="dcterms:W3CDTF">2015-03-10T09:17:00Z</dcterms:created>
  <dcterms:modified xsi:type="dcterms:W3CDTF">2015-03-10T09:23:00Z</dcterms:modified>
</cp:coreProperties>
</file>