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30" w:rsidRDefault="00B77630">
      <w:r>
        <w:t xml:space="preserve">Formålet med denne øvelse er at bestemme </w:t>
      </w:r>
      <w:r w:rsidR="00196C50">
        <w:t xml:space="preserve">hvor stor </w:t>
      </w:r>
      <w:proofErr w:type="gramStart"/>
      <w:r w:rsidR="00196C50">
        <w:t>en  varmemængde</w:t>
      </w:r>
      <w:proofErr w:type="gramEnd"/>
      <w:r w:rsidR="00196C50">
        <w:t xml:space="preserve"> der svarer til en fysisk kraft</w:t>
      </w:r>
      <w:r w:rsidR="005B2C03">
        <w:t>s</w:t>
      </w:r>
      <w:r w:rsidR="00196C50">
        <w:t xml:space="preserve"> arbejde. </w:t>
      </w:r>
      <w:r w:rsidR="005B2C03">
        <w:t xml:space="preserve">(Se også s. 182 i Fysik </w:t>
      </w:r>
      <w:proofErr w:type="spellStart"/>
      <w:r w:rsidR="005B2C03">
        <w:t>ABbogen</w:t>
      </w:r>
      <w:proofErr w:type="spellEnd"/>
      <w:r w:rsidR="005B2C03">
        <w:t xml:space="preserve"> 1)</w:t>
      </w:r>
      <w:r w:rsidR="005B2C03">
        <w:t xml:space="preserve"> </w:t>
      </w:r>
      <w:r w:rsidR="00196C50">
        <w:t xml:space="preserve">Dette gøres i praksis ved at </w:t>
      </w:r>
      <w:proofErr w:type="gramStart"/>
      <w:r w:rsidR="00196C50">
        <w:t xml:space="preserve">bestemme  </w:t>
      </w:r>
      <w:r w:rsidR="005B2C03">
        <w:t>kobber</w:t>
      </w:r>
      <w:proofErr w:type="gramEnd"/>
      <w:r>
        <w:t xml:space="preserve"> og aluminiums </w:t>
      </w:r>
      <w:r>
        <w:rPr>
          <w:i/>
        </w:rPr>
        <w:t>c</w:t>
      </w:r>
      <w:r>
        <w:t>-værdi.</w:t>
      </w:r>
    </w:p>
    <w:p w:rsidR="00B77630" w:rsidRDefault="00B77630"/>
    <w:p w:rsidR="00B77630" w:rsidRDefault="00B77630" w:rsidP="005B2C03">
      <w:pPr>
        <w:rPr>
          <w:noProof/>
        </w:rPr>
      </w:pPr>
      <w:r>
        <w:t xml:space="preserve">Til øvelsen benyttes en </w:t>
      </w:r>
      <w:r w:rsidR="005B2C03">
        <w:t>kobber</w:t>
      </w:r>
      <w:r>
        <w:t>cylinder, en aluminiumcylinder, et håndtag, en snor, et 5 kg lod, lod en skydelære</w:t>
      </w:r>
      <w:r w:rsidR="005B2C03">
        <w:t>, ohmmeter</w:t>
      </w:r>
      <w:r>
        <w:t>.</w:t>
      </w:r>
      <w:r w:rsidR="005B2C03">
        <w:t xml:space="preserve"> (se nedenstående fig. 1)</w:t>
      </w:r>
    </w:p>
    <w:p w:rsidR="00B77630" w:rsidRDefault="00B77630">
      <w:pPr>
        <w:jc w:val="center"/>
        <w:rPr>
          <w:noProof/>
        </w:rPr>
      </w:pPr>
    </w:p>
    <w:p w:rsidR="00B77630" w:rsidRDefault="005B2C03">
      <w:pPr>
        <w:jc w:val="center"/>
        <w:rPr>
          <w:sz w:val="40"/>
        </w:rPr>
      </w:pPr>
      <w:r>
        <w:rPr>
          <w:noProof/>
        </w:rPr>
        <w:drawing>
          <wp:inline distT="0" distB="0" distL="0" distR="0">
            <wp:extent cx="2923189" cy="2192506"/>
            <wp:effectExtent l="3493" t="0" r="0" b="0"/>
            <wp:docPr id="2" name="Billede 2" descr="C:\Users\so\AppData\Local\Microsoft\Windows\Temporary Internet Files\Content.Outlook\MJDOB3O5\fot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\AppData\Local\Microsoft\Windows\Temporary Internet Files\Content.Outlook\MJDOB3O5\foto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4035" cy="219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03" w:rsidRDefault="005B2C03">
      <w:pPr>
        <w:jc w:val="center"/>
        <w:rPr>
          <w:szCs w:val="24"/>
        </w:rPr>
      </w:pPr>
      <w:r>
        <w:rPr>
          <w:szCs w:val="24"/>
        </w:rPr>
        <w:t>Fig.1</w:t>
      </w:r>
    </w:p>
    <w:p w:rsidR="005B2C03" w:rsidRPr="005B2C03" w:rsidRDefault="005B2C03">
      <w:pPr>
        <w:jc w:val="center"/>
        <w:rPr>
          <w:szCs w:val="24"/>
        </w:rPr>
      </w:pPr>
    </w:p>
    <w:p w:rsidR="00B77630" w:rsidRDefault="00B77630">
      <w:r>
        <w:t xml:space="preserve"> </w:t>
      </w:r>
      <w:r w:rsidR="005B2C03">
        <w:t xml:space="preserve">5 kg </w:t>
      </w:r>
      <w:r>
        <w:t xml:space="preserve">Loddet bindes til den </w:t>
      </w:r>
      <w:r w:rsidR="005B2C03">
        <w:t>ene</w:t>
      </w:r>
      <w:r>
        <w:t xml:space="preserve"> ende af snoren, </w:t>
      </w:r>
      <w:proofErr w:type="gramStart"/>
      <w:r>
        <w:t>der  vikles</w:t>
      </w:r>
      <w:proofErr w:type="gramEnd"/>
      <w:r>
        <w:t xml:space="preserve"> </w:t>
      </w:r>
      <w:r w:rsidR="005B2C03">
        <w:t>et passende</w:t>
      </w:r>
      <w:r w:rsidR="005B2C03">
        <w:t xml:space="preserve"> antal gange</w:t>
      </w:r>
      <w:r w:rsidR="005B2C03">
        <w:t xml:space="preserve"> </w:t>
      </w:r>
      <w:r>
        <w:t xml:space="preserve">om </w:t>
      </w:r>
      <w:r w:rsidR="005B2C03">
        <w:t>cylinderen</w:t>
      </w:r>
      <w:r>
        <w:t xml:space="preserve">. Hvis snoren er viklet et bestemt antal gange om cylinderen kan man, ved at dreje håndtaget rundt i et bestemt </w:t>
      </w:r>
      <w:proofErr w:type="spellStart"/>
      <w:proofErr w:type="gramStart"/>
      <w:r>
        <w:t>tempo,holde</w:t>
      </w:r>
      <w:proofErr w:type="spellEnd"/>
      <w:proofErr w:type="gramEnd"/>
      <w:r>
        <w:t xml:space="preserve"> loddet i samme højde over gulvet.</w:t>
      </w:r>
      <w:r w:rsidR="009F053B">
        <w:t xml:space="preserve"> (se </w:t>
      </w:r>
      <w:proofErr w:type="spellStart"/>
      <w:r w:rsidR="009F053B">
        <w:t>fig</w:t>
      </w:r>
      <w:proofErr w:type="spellEnd"/>
      <w:r w:rsidR="009F053B">
        <w:t xml:space="preserve"> 2.)</w:t>
      </w:r>
      <w:r>
        <w:t xml:space="preserve"> </w:t>
      </w:r>
      <w:r>
        <w:rPr>
          <w:i/>
        </w:rPr>
        <w:t>I denne situation gælder at gnidningskraften mellem snor og cylinder netop er lig med tyngdekraften på loddet.</w:t>
      </w:r>
      <w:r>
        <w:t xml:space="preserve"> </w:t>
      </w:r>
    </w:p>
    <w:p w:rsidR="00B77630" w:rsidRDefault="00B77630"/>
    <w:p w:rsidR="009F053B" w:rsidRDefault="009F053B" w:rsidP="009F053B">
      <w:pPr>
        <w:jc w:val="center"/>
      </w:pPr>
      <w:r>
        <w:rPr>
          <w:noProof/>
        </w:rPr>
        <w:drawing>
          <wp:inline distT="0" distB="0" distL="0" distR="0">
            <wp:extent cx="2829411" cy="2122169"/>
            <wp:effectExtent l="0" t="8255" r="1270" b="1270"/>
            <wp:docPr id="3" name="Billede 3" descr="C:\Users\so\AppData\Local\Microsoft\Windows\Temporary Internet Files\Content.Outlook\MJDOB3O5\foto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\AppData\Local\Microsoft\Windows\Temporary Internet Files\Content.Outlook\MJDOB3O5\foto (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0480" cy="212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3B" w:rsidRDefault="009F053B" w:rsidP="009F053B">
      <w:pPr>
        <w:jc w:val="center"/>
      </w:pPr>
      <w:proofErr w:type="spellStart"/>
      <w:r>
        <w:t>Fig</w:t>
      </w:r>
      <w:proofErr w:type="spellEnd"/>
      <w:r>
        <w:t xml:space="preserve"> 2</w:t>
      </w:r>
    </w:p>
    <w:p w:rsidR="00B77630" w:rsidRDefault="00B77630" w:rsidP="009F053B">
      <w:pPr>
        <w:jc w:val="center"/>
      </w:pPr>
      <w:r>
        <w:lastRenderedPageBreak/>
        <w:t xml:space="preserve">Selve forsøget kan nu starte. Første måles </w:t>
      </w:r>
      <w:r w:rsidR="005B2C03">
        <w:t xml:space="preserve">modstanden </w:t>
      </w:r>
      <w:proofErr w:type="gramStart"/>
      <w:r w:rsidR="00564C7C">
        <w:t>af  temperatursensoren</w:t>
      </w:r>
      <w:proofErr w:type="gramEnd"/>
      <w:r w:rsidR="00564C7C">
        <w:t xml:space="preserve"> der er sat ind midt i cylinderen.</w:t>
      </w:r>
      <w:r>
        <w:t xml:space="preserve"> Når det er gjort drejes håndtaget rundt f.eks. 50 gange. Efter en kort </w:t>
      </w:r>
      <w:proofErr w:type="gramStart"/>
      <w:r>
        <w:t>pause  bestemmes</w:t>
      </w:r>
      <w:proofErr w:type="gramEnd"/>
      <w:r>
        <w:t xml:space="preserve"> </w:t>
      </w:r>
      <w:r w:rsidR="00564C7C">
        <w:t xml:space="preserve">modstanden </w:t>
      </w:r>
      <w:r>
        <w:t xml:space="preserve"> igen, og når det er gjort drejes yderligere 50 gange.</w:t>
      </w:r>
      <w:r w:rsidR="00564C7C">
        <w:t xml:space="preserve"> (</w:t>
      </w:r>
      <w:r w:rsidR="00564C7C">
        <w:rPr>
          <w:i/>
        </w:rPr>
        <w:t xml:space="preserve"> drej så mange omgange så modstanden ændrer sig ca. 0,5 k</w:t>
      </w:r>
      <w:r w:rsidR="00564C7C">
        <w:rPr>
          <w:rFonts w:ascii="Symbol" w:hAnsi="Symbol"/>
          <w:i/>
        </w:rPr>
        <w:t></w:t>
      </w:r>
      <w:r w:rsidR="00564C7C">
        <w:rPr>
          <w:rFonts w:ascii="Symbol" w:hAnsi="Symbol"/>
          <w:i/>
        </w:rPr>
        <w:t></w:t>
      </w:r>
      <w:r w:rsidR="00564C7C">
        <w:rPr>
          <w:rFonts w:ascii="Symbol" w:hAnsi="Symbol"/>
          <w:i/>
        </w:rPr>
        <w:t></w:t>
      </w:r>
      <w:r>
        <w:t xml:space="preserve"> Man fortsæt</w:t>
      </w:r>
      <w:r>
        <w:softHyphen/>
        <w:t xml:space="preserve">ter indtil man har ca. 8 målinger. </w:t>
      </w:r>
    </w:p>
    <w:p w:rsidR="00B77630" w:rsidRDefault="00B77630"/>
    <w:p w:rsidR="00B77630" w:rsidRDefault="00B77630">
      <w:r>
        <w:t xml:space="preserve">Varmeteoriens 1. hovedsætning </w:t>
      </w:r>
      <w:proofErr w:type="gramStart"/>
      <w:r>
        <w:t>siger  at</w:t>
      </w:r>
      <w:proofErr w:type="gramEnd"/>
      <w:r>
        <w:t>:</w:t>
      </w:r>
    </w:p>
    <w:p w:rsidR="00B77630" w:rsidRDefault="00B77630"/>
    <w:p w:rsidR="00B77630" w:rsidRDefault="00B77630">
      <w:r>
        <w:rPr>
          <w:b/>
          <w:sz w:val="28"/>
        </w:rPr>
        <w:t xml:space="preserve">              </w:t>
      </w:r>
      <w:r>
        <w:rPr>
          <w:sz w:val="28"/>
        </w:rPr>
        <w:t xml:space="preserve">     </w:t>
      </w:r>
      <w:r>
        <w:fldChar w:fldCharType="begin"/>
      </w:r>
      <w:r>
        <w:instrText>SYMBOL 68 \f "Symbol"</w:instrText>
      </w:r>
      <w:r>
        <w:fldChar w:fldCharType="end"/>
      </w:r>
      <w:r>
        <w:rPr>
          <w:i/>
        </w:rPr>
        <w:t>E</w:t>
      </w:r>
      <w:r>
        <w:rPr>
          <w:i/>
          <w:position w:val="-8"/>
          <w:sz w:val="18"/>
        </w:rPr>
        <w:t>term</w:t>
      </w:r>
      <w:r>
        <w:rPr>
          <w:i/>
        </w:rPr>
        <w:t>=A+Q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(1)</w:t>
      </w:r>
    </w:p>
    <w:p w:rsidR="00B77630" w:rsidRDefault="00B77630">
      <w:pPr>
        <w:rPr>
          <w:i/>
        </w:rPr>
      </w:pPr>
    </w:p>
    <w:p w:rsidR="00B77630" w:rsidRDefault="00B77630">
      <w:r>
        <w:rPr>
          <w:i/>
        </w:rPr>
        <w:fldChar w:fldCharType="begin"/>
      </w:r>
      <w:r>
        <w:rPr>
          <w:i/>
        </w:rPr>
        <w:instrText>SYMBOL 68 \f "Symbol"</w:instrText>
      </w:r>
      <w:r>
        <w:rPr>
          <w:i/>
        </w:rPr>
        <w:fldChar w:fldCharType="end"/>
      </w:r>
      <w:r>
        <w:rPr>
          <w:i/>
        </w:rPr>
        <w:t>E</w:t>
      </w:r>
      <w:r>
        <w:rPr>
          <w:i/>
          <w:position w:val="-8"/>
          <w:sz w:val="18"/>
        </w:rPr>
        <w:t>term</w:t>
      </w:r>
      <w:r>
        <w:rPr>
          <w:position w:val="-8"/>
          <w:sz w:val="18"/>
        </w:rPr>
        <w:t xml:space="preserve"> </w:t>
      </w:r>
      <w:r>
        <w:t>er ændringen i termisk energi for cylinderen dvs.</w:t>
      </w:r>
    </w:p>
    <w:p w:rsidR="00B77630" w:rsidRDefault="00B77630"/>
    <w:p w:rsidR="00B77630" w:rsidRDefault="00C82203">
      <w:pPr>
        <w:ind w:left="708"/>
      </w:pPr>
      <w:r>
        <w:rPr>
          <w:position w:val="-14"/>
        </w:rPr>
        <w:object w:dxaOrig="22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85pt;height:19.1pt" o:ole="">
            <v:imagedata r:id="rId10" o:title=""/>
          </v:shape>
          <o:OLEObject Type="Embed" ProgID="Equation.3" ShapeID="_x0000_i1025" DrawAspect="Content" ObjectID="_1471084562" r:id="rId11"/>
        </w:object>
      </w:r>
      <w:r w:rsidR="00B77630">
        <w:tab/>
      </w:r>
      <w:r w:rsidR="00B77630">
        <w:tab/>
        <w:t>(2)</w:t>
      </w:r>
    </w:p>
    <w:p w:rsidR="00B77630" w:rsidRDefault="00B77630">
      <w:pPr>
        <w:ind w:left="708"/>
      </w:pPr>
    </w:p>
    <w:p w:rsidR="00B77630" w:rsidRDefault="00B77630">
      <w:r>
        <w:t xml:space="preserve">Vi går ud fra at </w:t>
      </w:r>
      <w:r>
        <w:rPr>
          <w:i/>
        </w:rPr>
        <w:t>Q</w:t>
      </w:r>
      <w:r>
        <w:t xml:space="preserve"> = 0 J i dette forsøg. </w:t>
      </w:r>
      <w:r>
        <w:rPr>
          <w:i/>
        </w:rPr>
        <w:t>A</w:t>
      </w:r>
      <w:r>
        <w:t xml:space="preserve"> er gnidningskraftens arbejde og den bestemmes på følgende måde:</w:t>
      </w:r>
    </w:p>
    <w:p w:rsidR="00B77630" w:rsidRDefault="00B77630"/>
    <w:p w:rsidR="00B77630" w:rsidRDefault="00B77630">
      <w:r>
        <w:t xml:space="preserve">Ved én omdrejning svarer den tilbagelagte </w:t>
      </w:r>
      <w:proofErr w:type="gramStart"/>
      <w:r>
        <w:t>vejstrækning  til</w:t>
      </w:r>
      <w:proofErr w:type="gramEnd"/>
      <w:r>
        <w:t xml:space="preserve"> omkredsen </w:t>
      </w:r>
      <w:r>
        <w:rPr>
          <w:i/>
        </w:rPr>
        <w:t>O</w:t>
      </w:r>
      <w:proofErr w:type="spellStart"/>
      <w:r>
        <w:rPr>
          <w:i/>
          <w:position w:val="-8"/>
          <w:sz w:val="18"/>
        </w:rPr>
        <w:t>cyl</w:t>
      </w:r>
      <w:proofErr w:type="spellEnd"/>
      <w:r>
        <w:t xml:space="preserve"> af cylinderen. Ved </w:t>
      </w:r>
      <w:r>
        <w:rPr>
          <w:i/>
        </w:rPr>
        <w:t>n</w:t>
      </w:r>
      <w:r>
        <w:t xml:space="preserve"> omdrejninger fås gnidningskraftens arbejde som:</w:t>
      </w:r>
    </w:p>
    <w:p w:rsidR="00B77630" w:rsidRDefault="00B77630"/>
    <w:p w:rsidR="00B77630" w:rsidRDefault="00B77630">
      <w:pPr>
        <w:ind w:left="708"/>
      </w:pPr>
      <w:r>
        <w:rPr>
          <w:i/>
          <w:position w:val="-14"/>
        </w:rPr>
        <w:object w:dxaOrig="1680" w:dyaOrig="380">
          <v:shape id="_x0000_i1026" type="#_x0000_t75" style="width:84.1pt;height:19.1pt" o:ole="">
            <v:imagedata r:id="rId12" o:title=""/>
          </v:shape>
          <o:OLEObject Type="Embed" ProgID="Equation.2" ShapeID="_x0000_i1026" DrawAspect="Content" ObjectID="_1471084563" r:id="rId13"/>
        </w:object>
      </w:r>
      <w:r>
        <w:t xml:space="preserve"> </w:t>
      </w:r>
      <w:r>
        <w:tab/>
      </w:r>
      <w:r>
        <w:tab/>
      </w:r>
      <w:r>
        <w:tab/>
        <w:t>(3)</w:t>
      </w:r>
    </w:p>
    <w:p w:rsidR="00B77630" w:rsidRDefault="00B77630">
      <w:pPr>
        <w:ind w:left="708"/>
      </w:pPr>
    </w:p>
    <w:p w:rsidR="00B77630" w:rsidRDefault="00B77630">
      <w:r>
        <w:t>Som omtalt i det foregående er gnidningskraften mellem snor og cylinder lig med tyngdekraften på 5 kg loddet. Dermed er:</w:t>
      </w:r>
    </w:p>
    <w:p w:rsidR="00B77630" w:rsidRDefault="00B77630">
      <w:pPr>
        <w:ind w:left="708"/>
      </w:pPr>
    </w:p>
    <w:p w:rsidR="00B77630" w:rsidRDefault="00B77630">
      <w:pPr>
        <w:ind w:left="708"/>
      </w:pPr>
      <w:r>
        <w:rPr>
          <w:i/>
          <w:position w:val="-12"/>
        </w:rPr>
        <w:object w:dxaOrig="2160" w:dyaOrig="360">
          <v:shape id="_x0000_i1027" type="#_x0000_t75" style="width:108.3pt;height:17.85pt" o:ole="">
            <v:imagedata r:id="rId14" o:title=""/>
          </v:shape>
          <o:OLEObject Type="Embed" ProgID="Equation.2" ShapeID="_x0000_i1027" DrawAspect="Content" ObjectID="_1471084564" r:id="rId15"/>
        </w:object>
      </w:r>
      <w:r>
        <w:tab/>
      </w:r>
      <w:r>
        <w:tab/>
        <w:t xml:space="preserve">(4) </w:t>
      </w:r>
      <w:r>
        <w:rPr>
          <w:i/>
        </w:rPr>
        <w:t>r</w:t>
      </w:r>
      <w:r>
        <w:t xml:space="preserve"> er cylinderens radius</w:t>
      </w:r>
    </w:p>
    <w:p w:rsidR="00B77630" w:rsidRDefault="00B77630"/>
    <w:p w:rsidR="00B77630" w:rsidRDefault="00B77630">
      <w:r>
        <w:t xml:space="preserve">For hver værdi af </w:t>
      </w:r>
      <w:r>
        <w:rPr>
          <w:i/>
        </w:rPr>
        <w:t>n</w:t>
      </w:r>
      <w:r>
        <w:t xml:space="preserve"> (50, 100, ....) beregnes </w:t>
      </w:r>
      <w:r>
        <w:rPr>
          <w:i/>
        </w:rPr>
        <w:t>A</w:t>
      </w:r>
      <w:r>
        <w:t xml:space="preserve">, som ifølge varmeteoriens 1. hovedsætning er lig </w:t>
      </w:r>
      <w:r>
        <w:rPr>
          <w:i/>
        </w:rPr>
        <w:fldChar w:fldCharType="begin"/>
      </w:r>
      <w:r>
        <w:rPr>
          <w:i/>
        </w:rPr>
        <w:instrText>SYMBOL 68 \f "Symbol"</w:instrText>
      </w:r>
      <w:r>
        <w:rPr>
          <w:i/>
        </w:rPr>
        <w:fldChar w:fldCharType="end"/>
      </w:r>
      <w:proofErr w:type="gramStart"/>
      <w:r>
        <w:rPr>
          <w:i/>
        </w:rPr>
        <w:t>E</w:t>
      </w:r>
      <w:r>
        <w:rPr>
          <w:i/>
          <w:position w:val="-8"/>
          <w:sz w:val="18"/>
        </w:rPr>
        <w:t>term</w:t>
      </w:r>
      <w:r>
        <w:rPr>
          <w:position w:val="-8"/>
          <w:sz w:val="18"/>
        </w:rPr>
        <w:t>.,</w:t>
      </w:r>
      <w:r>
        <w:t>da</w:t>
      </w:r>
      <w:proofErr w:type="gramEnd"/>
      <w:r>
        <w:t xml:space="preserve"> </w:t>
      </w:r>
      <w:r>
        <w:rPr>
          <w:i/>
        </w:rPr>
        <w:t>Q</w:t>
      </w:r>
      <w:r>
        <w:t>=0.</w:t>
      </w:r>
    </w:p>
    <w:p w:rsidR="00B77630" w:rsidRDefault="00B77630"/>
    <w:p w:rsidR="009F053B" w:rsidRDefault="00B77630">
      <w:r>
        <w:t xml:space="preserve"> Afsæt </w:t>
      </w:r>
      <w:r>
        <w:rPr>
          <w:i/>
        </w:rPr>
        <w:fldChar w:fldCharType="begin"/>
      </w:r>
      <w:r>
        <w:rPr>
          <w:i/>
        </w:rPr>
        <w:instrText>SYMBOL 68 \f "Symbol"</w:instrText>
      </w:r>
      <w:r>
        <w:rPr>
          <w:i/>
        </w:rPr>
        <w:fldChar w:fldCharType="end"/>
      </w:r>
      <w:r>
        <w:rPr>
          <w:i/>
        </w:rPr>
        <w:t>E</w:t>
      </w:r>
      <w:r>
        <w:rPr>
          <w:i/>
          <w:position w:val="-8"/>
          <w:sz w:val="18"/>
        </w:rPr>
        <w:t>term</w:t>
      </w:r>
      <w:r>
        <w:rPr>
          <w:position w:val="-8"/>
          <w:sz w:val="18"/>
        </w:rPr>
        <w:t xml:space="preserve"> </w:t>
      </w:r>
      <w:r>
        <w:t xml:space="preserve">som en funktion af  </w:t>
      </w:r>
      <w:r>
        <w:rPr>
          <w:i/>
        </w:rPr>
        <w:fldChar w:fldCharType="begin"/>
      </w:r>
      <w:r>
        <w:rPr>
          <w:i/>
        </w:rPr>
        <w:instrText>SYMBOL 68 \f "Symbol"</w:instrText>
      </w:r>
      <w:r>
        <w:rPr>
          <w:i/>
        </w:rPr>
        <w:fldChar w:fldCharType="end"/>
      </w:r>
      <w:proofErr w:type="gramStart"/>
      <w:r>
        <w:rPr>
          <w:i/>
        </w:rPr>
        <w:t>T</w:t>
      </w:r>
      <w:r>
        <w:t xml:space="preserve"> .</w:t>
      </w:r>
      <w:proofErr w:type="gramEnd"/>
      <w:r>
        <w:t xml:space="preserve"> </w:t>
      </w:r>
      <w:r w:rsidR="00564C7C">
        <w:t xml:space="preserve">Først skal temperaturen dog bestemmes ud fra modstandsværdien. Brug omregningstabellen i </w:t>
      </w:r>
      <w:hyperlink r:id="rId16" w:history="1">
        <w:r w:rsidR="00564C7C" w:rsidRPr="0056539A">
          <w:rPr>
            <w:rStyle w:val="Hyperlink"/>
          </w:rPr>
          <w:t>apparaturbeskrivelsen</w:t>
        </w:r>
      </w:hyperlink>
      <w:bookmarkStart w:id="0" w:name="_GoBack"/>
      <w:bookmarkEnd w:id="0"/>
      <w:r w:rsidR="00564C7C">
        <w:t xml:space="preserve"> (se micson.dk).</w:t>
      </w:r>
      <w:r w:rsidR="009F053B">
        <w:t xml:space="preserve"> </w:t>
      </w:r>
    </w:p>
    <w:p w:rsidR="009F053B" w:rsidRDefault="009F053B"/>
    <w:p w:rsidR="00B77630" w:rsidRDefault="009F053B">
      <w:r>
        <w:t>kobber</w:t>
      </w:r>
      <w:r w:rsidR="00B77630"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2"/>
        <w:gridCol w:w="1662"/>
        <w:gridCol w:w="1662"/>
        <w:gridCol w:w="1662"/>
        <w:gridCol w:w="1662"/>
        <w:gridCol w:w="1662"/>
      </w:tblGrid>
      <w:tr w:rsidR="00564C7C" w:rsidTr="00564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  <w:r>
              <w:rPr>
                <w:i/>
              </w:rPr>
              <w:t>n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Pr="00564C7C" w:rsidRDefault="00564C7C">
            <w:pPr>
              <w:jc w:val="center"/>
              <w:rPr>
                <w:rFonts w:ascii="Symbol" w:hAnsi="Symbol"/>
                <w:i/>
              </w:rPr>
            </w:pPr>
            <w:r>
              <w:rPr>
                <w:i/>
              </w:rPr>
              <w:t>R/k</w:t>
            </w:r>
            <w:r>
              <w:rPr>
                <w:rFonts w:ascii="Symbol" w:hAnsi="Symbol"/>
                <w:i/>
              </w:rPr>
              <w:t>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  <w:rPr>
                <w:vertAlign w:val="superscript"/>
              </w:rPr>
            </w:pPr>
            <w:r>
              <w:rPr>
                <w:i/>
              </w:rPr>
              <w:t>T</w:t>
            </w:r>
            <w:r>
              <w:rPr>
                <w:i/>
                <w:position w:val="-8"/>
                <w:sz w:val="18"/>
              </w:rPr>
              <w:t>1</w:t>
            </w:r>
            <w:r>
              <w:rPr>
                <w:i/>
                <w:position w:val="-8"/>
              </w:rPr>
              <w:t xml:space="preserve">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ind w:left="708" w:hanging="708"/>
              <w:jc w:val="center"/>
              <w:rPr>
                <w:i/>
                <w:position w:val="8"/>
                <w:sz w:val="18"/>
              </w:rPr>
            </w:pPr>
            <w:r>
              <w:rPr>
                <w:i/>
              </w:rPr>
              <w:t>T</w:t>
            </w:r>
            <w:r>
              <w:rPr>
                <w:i/>
                <w:position w:val="-8"/>
                <w:sz w:val="18"/>
              </w:rPr>
              <w:t>2</w:t>
            </w:r>
            <w:r>
              <w:rPr>
                <w:i/>
                <w:position w:val="-8"/>
              </w:rPr>
              <w:t xml:space="preserve">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>SYMBOL 68 \f "Symbol"</w:instrText>
            </w:r>
            <w:r>
              <w:rPr>
                <w:i/>
              </w:rPr>
              <w:fldChar w:fldCharType="end"/>
            </w:r>
            <w:r>
              <w:rPr>
                <w:i/>
              </w:rPr>
              <w:t>T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7C" w:rsidRDefault="00564C7C">
            <w:pPr>
              <w:jc w:val="center"/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n</w:t>
            </w:r>
            <w:r>
              <w:rPr>
                <w:i/>
              </w:rPr>
              <w:t xml:space="preserve"> </w:t>
            </w:r>
          </w:p>
        </w:tc>
      </w:tr>
      <w:tr w:rsidR="00564C7C" w:rsidTr="00564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7C" w:rsidRDefault="00564C7C">
            <w:pPr>
              <w:jc w:val="center"/>
            </w:pPr>
          </w:p>
        </w:tc>
      </w:tr>
      <w:tr w:rsidR="00564C7C" w:rsidTr="00564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7C" w:rsidRDefault="00564C7C">
            <w:pPr>
              <w:jc w:val="center"/>
            </w:pPr>
          </w:p>
        </w:tc>
      </w:tr>
      <w:tr w:rsidR="00564C7C" w:rsidTr="00564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7C" w:rsidRDefault="00564C7C">
            <w:pPr>
              <w:jc w:val="center"/>
            </w:pPr>
          </w:p>
        </w:tc>
      </w:tr>
      <w:tr w:rsidR="00564C7C" w:rsidTr="00564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7C" w:rsidRDefault="00564C7C">
            <w:pPr>
              <w:jc w:val="center"/>
            </w:pPr>
          </w:p>
        </w:tc>
      </w:tr>
      <w:tr w:rsidR="00564C7C" w:rsidTr="00564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7C" w:rsidRDefault="00564C7C">
            <w:pPr>
              <w:jc w:val="center"/>
            </w:pPr>
          </w:p>
        </w:tc>
      </w:tr>
      <w:tr w:rsidR="00564C7C" w:rsidTr="00564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7C" w:rsidRDefault="00564C7C">
            <w:pPr>
              <w:jc w:val="center"/>
            </w:pPr>
          </w:p>
        </w:tc>
      </w:tr>
      <w:tr w:rsidR="00564C7C" w:rsidTr="00564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7C" w:rsidRDefault="00564C7C">
            <w:pPr>
              <w:jc w:val="center"/>
            </w:pPr>
          </w:p>
        </w:tc>
      </w:tr>
      <w:tr w:rsidR="00564C7C" w:rsidTr="00564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4C7C" w:rsidRDefault="00564C7C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4C7C" w:rsidRDefault="00564C7C">
            <w:pPr>
              <w:jc w:val="center"/>
            </w:pPr>
          </w:p>
        </w:tc>
      </w:tr>
    </w:tbl>
    <w:p w:rsidR="00B77630" w:rsidRDefault="00B77630"/>
    <w:p w:rsidR="009F053B" w:rsidRDefault="009F053B" w:rsidP="009F053B">
      <w:r>
        <w:t xml:space="preserve">Overvej og skriv i rapporten hvordan punkterne burde ligge i et koordinatsystem. Brug grafen til at bestemme c-værdien for </w:t>
      </w:r>
      <w:r>
        <w:t>metallet.</w:t>
      </w:r>
    </w:p>
    <w:p w:rsidR="009F053B" w:rsidRDefault="009F053B" w:rsidP="009F053B"/>
    <w:p w:rsidR="00B77630" w:rsidRDefault="00B77630">
      <w:r>
        <w:lastRenderedPageBreak/>
        <w:t>Tilsvaren</w:t>
      </w:r>
      <w:r w:rsidR="009F053B">
        <w:t>de forsø</w:t>
      </w:r>
      <w:r>
        <w:t xml:space="preserve">g udføres med en cylinder af aluminium. </w:t>
      </w:r>
    </w:p>
    <w:p w:rsidR="009F053B" w:rsidRDefault="009F053B"/>
    <w:p w:rsidR="00B77630" w:rsidRDefault="00B77630">
      <w:r>
        <w:t>ALUMINIUM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2"/>
        <w:gridCol w:w="1662"/>
        <w:gridCol w:w="1662"/>
        <w:gridCol w:w="1662"/>
        <w:gridCol w:w="1662"/>
        <w:gridCol w:w="1662"/>
      </w:tblGrid>
      <w:tr w:rsidR="009F053B" w:rsidTr="009F0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  <w:r>
              <w:rPr>
                <w:i/>
              </w:rPr>
              <w:t>n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Pr="009F053B" w:rsidRDefault="009F053B">
            <w:pPr>
              <w:jc w:val="center"/>
              <w:rPr>
                <w:rFonts w:ascii="Symbol" w:hAnsi="Symbol"/>
                <w:i/>
              </w:rPr>
            </w:pPr>
            <w:r>
              <w:rPr>
                <w:i/>
              </w:rPr>
              <w:t>R/k</w:t>
            </w:r>
            <w:r>
              <w:rPr>
                <w:rFonts w:ascii="Symbol" w:hAnsi="Symbol"/>
                <w:i/>
              </w:rPr>
              <w:t>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  <w:rPr>
                <w:vertAlign w:val="superscript"/>
              </w:rPr>
            </w:pPr>
            <w:r>
              <w:rPr>
                <w:i/>
              </w:rPr>
              <w:t>T</w:t>
            </w:r>
            <w:r>
              <w:rPr>
                <w:i/>
                <w:position w:val="-8"/>
                <w:sz w:val="18"/>
              </w:rPr>
              <w:t>1</w:t>
            </w:r>
            <w:r>
              <w:rPr>
                <w:i/>
                <w:position w:val="-8"/>
              </w:rPr>
              <w:t xml:space="preserve">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ind w:left="708" w:hanging="708"/>
              <w:jc w:val="center"/>
              <w:rPr>
                <w:i/>
                <w:position w:val="8"/>
                <w:sz w:val="18"/>
              </w:rPr>
            </w:pPr>
            <w:r>
              <w:rPr>
                <w:i/>
              </w:rPr>
              <w:t>T</w:t>
            </w:r>
            <w:r>
              <w:rPr>
                <w:i/>
                <w:position w:val="-8"/>
                <w:sz w:val="18"/>
              </w:rPr>
              <w:t>2</w:t>
            </w:r>
            <w:r>
              <w:rPr>
                <w:i/>
                <w:position w:val="-8"/>
              </w:rPr>
              <w:t xml:space="preserve">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>SYMBOL 68 \f "Symbol"</w:instrText>
            </w:r>
            <w:r>
              <w:rPr>
                <w:i/>
              </w:rPr>
              <w:fldChar w:fldCharType="end"/>
            </w:r>
            <w:r>
              <w:rPr>
                <w:i/>
              </w:rPr>
              <w:t>T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53B" w:rsidRDefault="009F053B">
            <w:pPr>
              <w:jc w:val="center"/>
              <w:rPr>
                <w:vertAlign w:val="subscript"/>
              </w:rPr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n</w:t>
            </w:r>
          </w:p>
        </w:tc>
      </w:tr>
      <w:tr w:rsidR="009F053B" w:rsidTr="009F0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53B" w:rsidRDefault="009F053B">
            <w:pPr>
              <w:jc w:val="center"/>
            </w:pPr>
          </w:p>
        </w:tc>
      </w:tr>
      <w:tr w:rsidR="009F053B" w:rsidTr="009F0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53B" w:rsidRDefault="009F053B">
            <w:pPr>
              <w:jc w:val="center"/>
            </w:pPr>
          </w:p>
        </w:tc>
      </w:tr>
      <w:tr w:rsidR="009F053B" w:rsidTr="009F0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53B" w:rsidRDefault="009F053B">
            <w:pPr>
              <w:jc w:val="center"/>
            </w:pPr>
          </w:p>
        </w:tc>
      </w:tr>
      <w:tr w:rsidR="009F053B" w:rsidTr="009F0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53B" w:rsidRDefault="009F053B">
            <w:pPr>
              <w:jc w:val="center"/>
            </w:pPr>
          </w:p>
        </w:tc>
      </w:tr>
      <w:tr w:rsidR="009F053B" w:rsidTr="009F0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53B" w:rsidRDefault="009F053B">
            <w:pPr>
              <w:jc w:val="center"/>
            </w:pPr>
          </w:p>
        </w:tc>
      </w:tr>
      <w:tr w:rsidR="009F053B" w:rsidTr="009F0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53B" w:rsidRDefault="009F053B">
            <w:pPr>
              <w:jc w:val="center"/>
            </w:pPr>
          </w:p>
        </w:tc>
      </w:tr>
      <w:tr w:rsidR="009F053B" w:rsidTr="009F0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53B" w:rsidRDefault="009F053B">
            <w:pPr>
              <w:jc w:val="center"/>
            </w:pPr>
          </w:p>
        </w:tc>
      </w:tr>
      <w:tr w:rsidR="009F053B" w:rsidTr="009F0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53B" w:rsidRDefault="009F053B">
            <w:pPr>
              <w:jc w:val="center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053B" w:rsidRDefault="009F053B">
            <w:pPr>
              <w:jc w:val="center"/>
            </w:pPr>
          </w:p>
        </w:tc>
      </w:tr>
    </w:tbl>
    <w:p w:rsidR="00B77630" w:rsidRDefault="00B77630"/>
    <w:sectPr w:rsidR="00B7763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284" w:right="1798" w:bottom="1701" w:left="1798" w:header="708" w:footer="708" w:gutter="0"/>
      <w:paperSrc w:first="8" w:other="8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11" w:rsidRDefault="00913811">
      <w:r>
        <w:separator/>
      </w:r>
    </w:p>
  </w:endnote>
  <w:endnote w:type="continuationSeparator" w:id="0">
    <w:p w:rsidR="00913811" w:rsidRDefault="0091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50" w:rsidRDefault="00196C5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30" w:rsidRDefault="00B77630">
    <w:pPr>
      <w:pStyle w:val="Sidefod"/>
      <w:pBdr>
        <w:top w:val="single" w:sz="4" w:space="1" w:color="auto"/>
      </w:pBdr>
      <w:jc w:val="both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C84638">
      <w:rPr>
        <w:noProof/>
        <w:snapToGrid w:val="0"/>
      </w:rPr>
      <w:t>SCHRH</w:t>
    </w:r>
    <w:r>
      <w:rPr>
        <w:snapToGrid w:val="0"/>
      </w:rPr>
      <w:fldChar w:fldCharType="end"/>
    </w:r>
    <w:r w:rsidR="00E476DC">
      <w:rPr>
        <w:snapToGrid w:val="0"/>
      </w:rPr>
      <w:t>OLZ</w:t>
    </w:r>
    <w:r>
      <w:tab/>
      <w:t xml:space="preserve">                     </w:t>
    </w:r>
    <w:r>
      <w:rPr>
        <w:snapToGrid w:val="0"/>
      </w:rPr>
      <w:t xml:space="preserve">Side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6539A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af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56539A">
      <w:rPr>
        <w:noProof/>
        <w:snapToGrid w:val="0"/>
      </w:rPr>
      <w:t>3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50" w:rsidRDefault="00196C5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11" w:rsidRDefault="00913811">
      <w:r>
        <w:separator/>
      </w:r>
    </w:p>
  </w:footnote>
  <w:footnote w:type="continuationSeparator" w:id="0">
    <w:p w:rsidR="00913811" w:rsidRDefault="0091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50" w:rsidRDefault="00196C5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30" w:rsidRDefault="00B77630">
    <w:pPr>
      <w:pStyle w:val="Sidehoved"/>
      <w:pBdr>
        <w:bottom w:val="single" w:sz="4" w:space="1" w:color="auto"/>
      </w:pBdr>
    </w:pPr>
    <w:r>
      <w:tab/>
    </w:r>
    <w:proofErr w:type="spellStart"/>
    <w:r>
      <w:rPr>
        <w:sz w:val="40"/>
      </w:rPr>
      <w:t>Schürholz</w:t>
    </w:r>
    <w:proofErr w:type="spellEnd"/>
    <w:r>
      <w:rPr>
        <w:sz w:val="40"/>
      </w:rPr>
      <w:t>´ apparat</w:t>
    </w:r>
    <w:r>
      <w:rPr>
        <w:sz w:val="4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50" w:rsidRDefault="00196C5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50"/>
    <w:rsid w:val="00196C50"/>
    <w:rsid w:val="00361BD9"/>
    <w:rsid w:val="00507DD7"/>
    <w:rsid w:val="00564C7C"/>
    <w:rsid w:val="0056539A"/>
    <w:rsid w:val="005B2C03"/>
    <w:rsid w:val="00913811"/>
    <w:rsid w:val="00926712"/>
    <w:rsid w:val="009F053B"/>
    <w:rsid w:val="00A02DEC"/>
    <w:rsid w:val="00B77630"/>
    <w:rsid w:val="00C82203"/>
    <w:rsid w:val="00C84638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5B2C0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B2C0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565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5B2C0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B2C0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565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Schurholz_apparat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B5D123B-F934-4DFE-B442-A17CD5ED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øvelse</vt:lpstr>
    </vt:vector>
  </TitlesOfParts>
  <Company>Mikajl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øvelse</dc:title>
  <dc:creator>Hans Laugesen</dc:creator>
  <cp:lastModifiedBy>so</cp:lastModifiedBy>
  <cp:revision>3</cp:revision>
  <cp:lastPrinted>2014-09-01T10:39:00Z</cp:lastPrinted>
  <dcterms:created xsi:type="dcterms:W3CDTF">2014-09-01T11:45:00Z</dcterms:created>
  <dcterms:modified xsi:type="dcterms:W3CDTF">2014-09-01T11:49:00Z</dcterms:modified>
</cp:coreProperties>
</file>